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B9B5" w14:textId="77777777" w:rsidR="003E6449" w:rsidRPr="00737FE9" w:rsidRDefault="003E6449" w:rsidP="003E6449">
      <w:pPr>
        <w:jc w:val="center"/>
        <w:rPr>
          <w:rFonts w:ascii="Copperplate" w:hAnsi="Copperplate"/>
          <w:b/>
          <w:bCs/>
          <w:sz w:val="36"/>
          <w:szCs w:val="36"/>
        </w:rPr>
      </w:pPr>
      <w:r>
        <w:rPr>
          <w:noProof/>
        </w:rPr>
        <w:drawing>
          <wp:anchor distT="0" distB="0" distL="114300" distR="114300" simplePos="0" relativeHeight="251659264" behindDoc="1" locked="0" layoutInCell="1" allowOverlap="1" wp14:anchorId="2FF45C32" wp14:editId="4C81BBB0">
            <wp:simplePos x="0" y="0"/>
            <wp:positionH relativeFrom="column">
              <wp:posOffset>2792730</wp:posOffset>
            </wp:positionH>
            <wp:positionV relativeFrom="paragraph">
              <wp:posOffset>-777240</wp:posOffset>
            </wp:positionV>
            <wp:extent cx="2743200" cy="2024380"/>
            <wp:effectExtent l="0" t="0" r="0" b="7620"/>
            <wp:wrapNone/>
            <wp:docPr id="1" name="Picture 1" descr="calapsych%20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apsych%20logo3"/>
                    <pic:cNvPicPr>
                      <a:picLocks noChangeAspect="1" noChangeArrowheads="1"/>
                    </pic:cNvPicPr>
                  </pic:nvPicPr>
                  <pic:blipFill>
                    <a:blip r:embed="rId4">
                      <a:alphaModFix amt="19000"/>
                      <a:extLst>
                        <a:ext uri="{28A0092B-C50C-407E-A947-70E740481C1C}">
                          <a14:useLocalDpi xmlns:a14="http://schemas.microsoft.com/office/drawing/2010/main" val="0"/>
                        </a:ext>
                      </a:extLst>
                    </a:blip>
                    <a:srcRect/>
                    <a:stretch>
                      <a:fillRect/>
                    </a:stretch>
                  </pic:blipFill>
                  <pic:spPr bwMode="auto">
                    <a:xfrm>
                      <a:off x="0" y="0"/>
                      <a:ext cx="2743200" cy="2024380"/>
                    </a:xfrm>
                    <a:prstGeom prst="rect">
                      <a:avLst/>
                    </a:prstGeom>
                    <a:noFill/>
                    <a:ln>
                      <a:noFill/>
                    </a:ln>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r w:rsidRPr="00737FE9">
        <w:rPr>
          <w:rFonts w:ascii="Palatino" w:hAnsi="Palatino"/>
          <w:b/>
          <w:bCs/>
          <w:sz w:val="36"/>
          <w:szCs w:val="36"/>
        </w:rPr>
        <w:t>C</w:t>
      </w:r>
      <w:r w:rsidRPr="00737FE9">
        <w:rPr>
          <w:rFonts w:ascii="Copperplate" w:hAnsi="Copperplate"/>
          <w:b/>
          <w:bCs/>
          <w:sz w:val="36"/>
          <w:szCs w:val="36"/>
        </w:rPr>
        <w:t xml:space="preserve">entral </w:t>
      </w:r>
      <w:r w:rsidRPr="00737FE9">
        <w:rPr>
          <w:rFonts w:ascii="Palatino" w:hAnsi="Palatino"/>
          <w:b/>
          <w:bCs/>
          <w:sz w:val="36"/>
          <w:szCs w:val="36"/>
        </w:rPr>
        <w:t>A</w:t>
      </w:r>
      <w:r w:rsidRPr="00737FE9">
        <w:rPr>
          <w:rFonts w:ascii="Copperplate" w:hAnsi="Copperplate"/>
          <w:b/>
          <w:bCs/>
          <w:sz w:val="36"/>
          <w:szCs w:val="36"/>
        </w:rPr>
        <w:t xml:space="preserve">labama </w:t>
      </w:r>
      <w:r w:rsidRPr="00737FE9">
        <w:rPr>
          <w:rFonts w:ascii="Palatino" w:hAnsi="Palatino"/>
          <w:b/>
          <w:bCs/>
          <w:sz w:val="36"/>
          <w:szCs w:val="36"/>
        </w:rPr>
        <w:t>P</w:t>
      </w:r>
      <w:r w:rsidRPr="00737FE9">
        <w:rPr>
          <w:rFonts w:ascii="Copperplate" w:hAnsi="Copperplate"/>
          <w:b/>
          <w:bCs/>
          <w:sz w:val="36"/>
          <w:szCs w:val="36"/>
        </w:rPr>
        <w:t>sychology P. C.</w:t>
      </w:r>
    </w:p>
    <w:p w14:paraId="7DE7F9B1" w14:textId="77777777" w:rsidR="003E6449" w:rsidRPr="007C4ADA" w:rsidRDefault="003E6449" w:rsidP="003E6449">
      <w:pPr>
        <w:jc w:val="center"/>
        <w:rPr>
          <w:sz w:val="26"/>
          <w:szCs w:val="26"/>
        </w:rPr>
      </w:pPr>
    </w:p>
    <w:p w14:paraId="4762EA32" w14:textId="77777777" w:rsidR="003E6449" w:rsidRPr="00737FE9" w:rsidRDefault="003E6449" w:rsidP="003E6449">
      <w:pPr>
        <w:jc w:val="center"/>
        <w:rPr>
          <w:rFonts w:ascii="Gurmukhi MN" w:hAnsi="Gurmukhi MN"/>
        </w:rPr>
      </w:pPr>
    </w:p>
    <w:p w14:paraId="38BF5369" w14:textId="6A153B10" w:rsidR="003E6449" w:rsidRPr="00737FE9" w:rsidRDefault="003E6449" w:rsidP="003E6449">
      <w:pPr>
        <w:rPr>
          <w:rFonts w:ascii="Gurmukhi MN" w:hAnsi="Gurmukhi MN" w:cs="Arial"/>
          <w:sz w:val="22"/>
          <w:szCs w:val="22"/>
        </w:rPr>
      </w:pPr>
      <w:r w:rsidRPr="00737FE9">
        <w:rPr>
          <w:rFonts w:ascii="Gurmukhi MN" w:hAnsi="Gurmukhi MN" w:cs="Arial"/>
          <w:sz w:val="22"/>
          <w:szCs w:val="22"/>
          <w:u w:val="single"/>
        </w:rPr>
        <w:t>Licensed Psychologist</w:t>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r>
      <w:r>
        <w:rPr>
          <w:rFonts w:ascii="Gurmukhi MN" w:hAnsi="Gurmukhi MN" w:cs="Arial"/>
          <w:sz w:val="22"/>
          <w:szCs w:val="22"/>
        </w:rPr>
        <w:tab/>
      </w:r>
      <w:r w:rsidR="00084FD1">
        <w:rPr>
          <w:rFonts w:ascii="Gurmukhi MN" w:hAnsi="Gurmukhi MN" w:cs="Arial"/>
          <w:sz w:val="22"/>
          <w:szCs w:val="22"/>
        </w:rPr>
        <w:t>1620 Carter Hill Road</w:t>
      </w:r>
    </w:p>
    <w:p w14:paraId="1EEFB56B" w14:textId="40F6B161" w:rsidR="003E6449" w:rsidRPr="00737FE9" w:rsidRDefault="003E6449" w:rsidP="003E6449">
      <w:pPr>
        <w:jc w:val="both"/>
        <w:rPr>
          <w:rFonts w:ascii="Gurmukhi MN" w:hAnsi="Gurmukhi MN" w:cs="Arial"/>
          <w:sz w:val="22"/>
          <w:szCs w:val="22"/>
        </w:rPr>
      </w:pPr>
      <w:r w:rsidRPr="00737FE9">
        <w:rPr>
          <w:rFonts w:ascii="Gurmukhi MN" w:hAnsi="Gurmukhi MN" w:cs="Arial"/>
          <w:sz w:val="22"/>
          <w:szCs w:val="22"/>
        </w:rPr>
        <w:t xml:space="preserve">Kale Kirkland, Ph.D.                                                                   </w:t>
      </w:r>
      <w:r>
        <w:rPr>
          <w:rFonts w:ascii="Gurmukhi MN" w:hAnsi="Gurmukhi MN" w:cs="Arial"/>
          <w:sz w:val="22"/>
          <w:szCs w:val="22"/>
        </w:rPr>
        <w:t xml:space="preserve">         </w:t>
      </w:r>
      <w:r w:rsidR="00084FD1">
        <w:rPr>
          <w:rFonts w:ascii="Gurmukhi MN" w:hAnsi="Gurmukhi MN" w:cs="Arial"/>
          <w:sz w:val="22"/>
          <w:szCs w:val="22"/>
        </w:rPr>
        <w:t xml:space="preserve">        </w:t>
      </w:r>
      <w:r w:rsidRPr="00737FE9">
        <w:rPr>
          <w:rFonts w:ascii="Gurmukhi MN" w:hAnsi="Gurmukhi MN" w:cs="Arial"/>
          <w:sz w:val="22"/>
          <w:szCs w:val="22"/>
        </w:rPr>
        <w:t>Montgomery, AL 361</w:t>
      </w:r>
      <w:r w:rsidR="00084FD1">
        <w:rPr>
          <w:rFonts w:ascii="Gurmukhi MN" w:hAnsi="Gurmukhi MN" w:cs="Arial"/>
          <w:sz w:val="22"/>
          <w:szCs w:val="22"/>
        </w:rPr>
        <w:t>06</w:t>
      </w:r>
    </w:p>
    <w:p w14:paraId="6D0F8E47" w14:textId="52FFB792" w:rsidR="003E6449" w:rsidRPr="00737FE9" w:rsidRDefault="003E6449" w:rsidP="003E6449">
      <w:pPr>
        <w:ind w:left="2160" w:firstLine="720"/>
        <w:rPr>
          <w:rFonts w:ascii="Gurmukhi MN" w:hAnsi="Gurmukhi MN" w:cs="Arial"/>
          <w:sz w:val="22"/>
          <w:szCs w:val="22"/>
        </w:rPr>
      </w:pPr>
      <w:r w:rsidRPr="00737FE9">
        <w:rPr>
          <w:rFonts w:ascii="Gurmukhi MN" w:hAnsi="Gurmukhi MN" w:cs="Arial"/>
          <w:sz w:val="22"/>
          <w:szCs w:val="22"/>
        </w:rPr>
        <w:t xml:space="preserve">                                            </w:t>
      </w:r>
      <w:r>
        <w:rPr>
          <w:rFonts w:ascii="Gurmukhi MN" w:hAnsi="Gurmukhi MN" w:cs="Arial"/>
          <w:sz w:val="22"/>
          <w:szCs w:val="22"/>
        </w:rPr>
        <w:t xml:space="preserve">         </w:t>
      </w:r>
      <w:r>
        <w:rPr>
          <w:rFonts w:ascii="Gurmukhi MN" w:hAnsi="Gurmukhi MN" w:cs="Arial"/>
          <w:sz w:val="22"/>
          <w:szCs w:val="22"/>
        </w:rPr>
        <w:tab/>
        <w:t xml:space="preserve"> </w:t>
      </w:r>
      <w:r w:rsidRPr="00737FE9">
        <w:rPr>
          <w:rFonts w:ascii="Gurmukhi MN" w:hAnsi="Gurmukhi MN" w:cs="Arial"/>
          <w:sz w:val="22"/>
          <w:szCs w:val="22"/>
        </w:rPr>
        <w:t>P:(334) 819-4870</w:t>
      </w:r>
    </w:p>
    <w:p w14:paraId="77220429" w14:textId="3AD8AAA8" w:rsidR="009C2343" w:rsidRPr="00B571FE" w:rsidRDefault="009C2343" w:rsidP="00B571FE">
      <w:pPr>
        <w:rPr>
          <w:rFonts w:ascii="Gurmukhi MN" w:hAnsi="Gurmukhi MN" w:cs="Arial"/>
          <w:sz w:val="22"/>
          <w:szCs w:val="22"/>
        </w:rPr>
      </w:pPr>
    </w:p>
    <w:p w14:paraId="6F0694C0" w14:textId="77777777" w:rsidR="009C2343" w:rsidRPr="00C373DB" w:rsidRDefault="009C2343" w:rsidP="009C2343">
      <w:pPr>
        <w:jc w:val="center"/>
        <w:rPr>
          <w:b/>
          <w:sz w:val="30"/>
          <w:szCs w:val="30"/>
        </w:rPr>
      </w:pPr>
      <w:r w:rsidRPr="00C373DB">
        <w:rPr>
          <w:b/>
          <w:sz w:val="30"/>
          <w:szCs w:val="30"/>
        </w:rPr>
        <w:t>Informed Consent for Treatment</w:t>
      </w:r>
    </w:p>
    <w:p w14:paraId="6A858441" w14:textId="77777777" w:rsidR="009C2343" w:rsidRDefault="009C2343" w:rsidP="009C2343">
      <w:pPr>
        <w:pStyle w:val="NormalWeb"/>
      </w:pPr>
      <w:r>
        <w:t>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1F2FB138" w14:textId="77777777" w:rsidR="009C2343" w:rsidRDefault="009C2343" w:rsidP="009C2343">
      <w:pPr>
        <w:pStyle w:val="NormalWeb"/>
      </w:pPr>
      <w:r w:rsidRPr="00F1300D">
        <w:rPr>
          <w:b/>
        </w:rPr>
        <w:t>PSYCHOLOGICAL SERVICES</w:t>
      </w:r>
      <w: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03AE71A3" w14:textId="77777777" w:rsidR="009C2343" w:rsidRDefault="009C2343" w:rsidP="009C2343">
      <w:pPr>
        <w:pStyle w:val="NormalWeb"/>
      </w:pPr>
      <w: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14:paraId="564A27D8" w14:textId="7757187C" w:rsidR="009C2343" w:rsidRDefault="009C2343" w:rsidP="009C2343">
      <w:pPr>
        <w:pStyle w:val="NormalWeb"/>
      </w:pPr>
      <w:r>
        <w:t>The first session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w:t>
      </w:r>
      <w:r w:rsidR="00B571FE">
        <w:t xml:space="preserve"> refer you to another mental health professional.</w:t>
      </w:r>
    </w:p>
    <w:p w14:paraId="75E77B0F" w14:textId="2D2CE231" w:rsidR="009C2343" w:rsidRDefault="009C2343" w:rsidP="009C2343">
      <w:pPr>
        <w:pStyle w:val="NormalWeb"/>
      </w:pPr>
      <w:r w:rsidRPr="00F1300D">
        <w:rPr>
          <w:b/>
        </w:rPr>
        <w:t>APPOINTMENTS</w:t>
      </w:r>
      <w:r w:rsidRPr="00F1300D">
        <w:rPr>
          <w:b/>
        </w:rPr>
        <w:br/>
      </w:r>
      <w:r>
        <w:t xml:space="preserve">Therapy appointments will ordinarily be </w:t>
      </w:r>
      <w:r w:rsidR="00B571FE">
        <w:t>30</w:t>
      </w:r>
      <w:r>
        <w:t>-</w:t>
      </w:r>
      <w:r w:rsidR="00B571FE">
        <w:t>6</w:t>
      </w:r>
      <w:r>
        <w:t xml:space="preserve">0 minutes in duration, with the frequency being </w:t>
      </w:r>
      <w:r>
        <w:lastRenderedPageBreak/>
        <w:t xml:space="preserve">determined based on your needs.  Evaluation appointments vary in duration depending on the nature of the case.  The time scheduled for your appointment is assigned to you and you alone. If you need to cancel or reschedule a session, I ask that you provide me with 24 hours notice. </w:t>
      </w:r>
      <w:r w:rsidRPr="00F1300D">
        <w:rPr>
          <w:b/>
        </w:rPr>
        <w:t>If you miss a session without canceling, or cancel with less than 24</w:t>
      </w:r>
      <w:r w:rsidR="00084FD1">
        <w:rPr>
          <w:b/>
        </w:rPr>
        <w:t>-</w:t>
      </w:r>
      <w:r w:rsidRPr="00F1300D">
        <w:rPr>
          <w:b/>
        </w:rPr>
        <w:t xml:space="preserve">hour notice, </w:t>
      </w:r>
      <w:r>
        <w:rPr>
          <w:b/>
        </w:rPr>
        <w:t>YOU WILL BE BILLED FOR THAT SESSION.</w:t>
      </w:r>
      <w:r w:rsidRPr="00F1300D">
        <w:rPr>
          <w:b/>
        </w:rPr>
        <w:t xml:space="preserve"> </w:t>
      </w:r>
      <w:r>
        <w:rPr>
          <w:b/>
        </w:rPr>
        <w:t xml:space="preserve">  </w:t>
      </w:r>
      <w:r>
        <w:t>If it is possible, I will try to find another time to reschedule the appointment. In addition, you are responsible for coming to your session on time; if you are late, your appointment will still need to end on time.</w:t>
      </w:r>
    </w:p>
    <w:p w14:paraId="4C68D660" w14:textId="0C24E523" w:rsidR="009C2343" w:rsidRDefault="009C2343" w:rsidP="009C2343">
      <w:pPr>
        <w:pStyle w:val="NormalWeb"/>
      </w:pPr>
      <w:r w:rsidRPr="00F1300D">
        <w:rPr>
          <w:b/>
        </w:rPr>
        <w:t>PROFESSIONAL FEES</w:t>
      </w:r>
      <w:r>
        <w:br/>
        <w:t xml:space="preserve">The standard fee for the initial </w:t>
      </w:r>
      <w:r w:rsidR="00B571FE">
        <w:t xml:space="preserve">therapy </w:t>
      </w:r>
      <w:r>
        <w:t>intake is $200.00.</w:t>
      </w:r>
      <w:r w:rsidR="00B571FE">
        <w:t xml:space="preserve">  Evaluations are billed at an hourly rate of $300 and typically involve a minimum fee, which will depend on your needs.</w:t>
      </w:r>
      <w:r>
        <w:t>  You are responsible for paying at the time of your session unless prior arrangements have been made. Payment must be made by check, cash, or credit card.  Any checks returned to my office are subject to an additional fee of up to $50.00 to cover the bank fee that I incur. If you refuse to pay your debt, I reserve the right to use an attorney or collection agency to secure payment.</w:t>
      </w:r>
    </w:p>
    <w:p w14:paraId="6CF4F850" w14:textId="77777777" w:rsidR="009C2343" w:rsidRDefault="009C2343" w:rsidP="009C2343">
      <w:pPr>
        <w:pStyle w:val="NormalWeb"/>
      </w:pPr>
      <w:r>
        <w:t>In addition to weekly appointments, it is my practice to charge this amount on a prorated basis (I will break down the hourly cost) for other professional services that you may require such as report writing, telephone conversations that last longer than 15 minutes, lengthy e-mails sent to the practice email address,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14:paraId="0CE7144B" w14:textId="77777777" w:rsidR="009C2343" w:rsidRDefault="009C2343" w:rsidP="009C2343">
      <w:pPr>
        <w:pStyle w:val="NormalWeb"/>
      </w:pPr>
      <w:r w:rsidRPr="00F1300D">
        <w:rPr>
          <w:b/>
        </w:rPr>
        <w:t xml:space="preserve">FORENSIC FEES                                                                                                                          </w:t>
      </w:r>
      <w:r>
        <w:t xml:space="preserve">The standard fee for forensic services is $300 per hour.  An estimation of time needed for each evaluation will be decided upon scheduling first interview.  A retainer amount will also be calculated at this time.  If your case requires my appearance in court this time will be blocked off in my schedule.  If for some reason my services are no longer </w:t>
      </w:r>
      <w:proofErr w:type="gramStart"/>
      <w:r>
        <w:t>needed</w:t>
      </w:r>
      <w:proofErr w:type="gramEnd"/>
      <w:r>
        <w:t xml:space="preserve"> I </w:t>
      </w:r>
      <w:r w:rsidRPr="009C2343">
        <w:rPr>
          <w:b/>
        </w:rPr>
        <w:t>MUST</w:t>
      </w:r>
      <w:r>
        <w:t xml:space="preserve"> have a 14 day notice or retainer will be forfeited.</w:t>
      </w:r>
    </w:p>
    <w:p w14:paraId="18024535" w14:textId="6B444992" w:rsidR="009C2343" w:rsidRDefault="009C2343" w:rsidP="009C2343">
      <w:pPr>
        <w:pStyle w:val="NormalWeb"/>
      </w:pPr>
      <w:r w:rsidRPr="00F1300D">
        <w:rPr>
          <w:b/>
        </w:rPr>
        <w:t xml:space="preserve">PAYMENT </w:t>
      </w:r>
      <w:r>
        <w:t xml:space="preserve">                                                                                                                              Payment is due in full at the time services are rendered unless other arrangements have been made in advance.  If a financial situation </w:t>
      </w:r>
      <w:proofErr w:type="gramStart"/>
      <w:r>
        <w:t>arises</w:t>
      </w:r>
      <w:proofErr w:type="gramEnd"/>
      <w:r>
        <w:t xml:space="preserve"> please contact </w:t>
      </w:r>
      <w:r w:rsidR="00BD1634">
        <w:t>the office</w:t>
      </w:r>
      <w:r>
        <w:t xml:space="preserve"> as soon as possible to make arrangements.  </w:t>
      </w:r>
    </w:p>
    <w:p w14:paraId="2A25D26E" w14:textId="797A28EC" w:rsidR="009C2343" w:rsidRDefault="00362346" w:rsidP="009C2343">
      <w:pPr>
        <w:pStyle w:val="NormalWeb"/>
      </w:pPr>
      <w:r>
        <w:t>Billing</w:t>
      </w:r>
      <w:r w:rsidR="009C2343">
        <w:t xml:space="preserve"> statements for you</w:t>
      </w:r>
      <w:r>
        <w:t xml:space="preserve">r convenience </w:t>
      </w:r>
      <w:r w:rsidR="009C2343">
        <w:t xml:space="preserve">to file for reimbursement from your insurance company will be made available upon request.  </w:t>
      </w:r>
    </w:p>
    <w:p w14:paraId="08068714" w14:textId="77777777" w:rsidR="009C2343" w:rsidRDefault="009C2343" w:rsidP="009C2343">
      <w:pPr>
        <w:pStyle w:val="NormalWeb"/>
      </w:pPr>
      <w:r w:rsidRPr="00F1300D">
        <w:rPr>
          <w:b/>
        </w:rPr>
        <w:t>PROFESSIONAL RECORDS</w:t>
      </w:r>
      <w:r>
        <w:br/>
        <w:t xml:space="preserve">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w:t>
      </w:r>
      <w:r>
        <w:lastRenderedPageBreak/>
        <w:t>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which I will discuss with you upon your request. You also have the right to request that a copy of your file be made available to any other health care provider at your written request.</w:t>
      </w:r>
    </w:p>
    <w:p w14:paraId="7D78B7D2" w14:textId="77777777" w:rsidR="009C2343" w:rsidRDefault="009C2343" w:rsidP="009C2343">
      <w:pPr>
        <w:pStyle w:val="NormalWeb"/>
      </w:pPr>
      <w:r w:rsidRPr="00F1300D">
        <w:rPr>
          <w:b/>
        </w:rPr>
        <w:t>CONFIDENTIALITY</w:t>
      </w:r>
      <w:r>
        <w:br/>
        <w:t>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14:paraId="1B30DDEA" w14:textId="77777777" w:rsidR="009C2343" w:rsidRDefault="009C2343" w:rsidP="009C2343">
      <w:pPr>
        <w:pStyle w:val="NormalWeb"/>
      </w:pPr>
      <w:r w:rsidRPr="00F1300D">
        <w:rPr>
          <w:b/>
        </w:rPr>
        <w:t>PARENTS &amp; MINORS</w:t>
      </w:r>
      <w:r>
        <w:br/>
        <w:t xml:space="preserve">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p>
    <w:p w14:paraId="3CBE1FC4" w14:textId="77777777" w:rsidR="009C2343" w:rsidRDefault="009C2343" w:rsidP="009C2343">
      <w:pPr>
        <w:pStyle w:val="NormalWeb"/>
      </w:pPr>
      <w:r w:rsidRPr="00F1300D">
        <w:rPr>
          <w:b/>
        </w:rPr>
        <w:t>CONTACTING ME</w:t>
      </w:r>
      <w:r>
        <w:br/>
        <w:t>I am often not immediately available by telephone.  You may leave a message with the office staff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1) go to your local hospital Emergency Room, or 2) call 911 and ask to speak to the mental health worker on call. I will make every attempt to inform you in advance of planned absences.</w:t>
      </w:r>
    </w:p>
    <w:p w14:paraId="64D58029" w14:textId="77777777" w:rsidR="009C2343" w:rsidRDefault="009C2343" w:rsidP="009C2343">
      <w:pPr>
        <w:pStyle w:val="NormalWeb"/>
      </w:pPr>
      <w:r w:rsidRPr="00F1300D">
        <w:rPr>
          <w:b/>
        </w:rPr>
        <w:t>OTHER RIGHTS</w:t>
      </w:r>
      <w:r>
        <w:br/>
        <w:t>If you are unhappy with what is happening in therapy, I hope you will talk about your concerns so that they can be adequately addressed.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14:paraId="6DA29C8D" w14:textId="3E542C10" w:rsidR="009C2343" w:rsidRDefault="009C2343" w:rsidP="009C2343">
      <w:pPr>
        <w:pStyle w:val="NormalWeb"/>
      </w:pPr>
      <w:r w:rsidRPr="00F1300D">
        <w:rPr>
          <w:b/>
        </w:rPr>
        <w:lastRenderedPageBreak/>
        <w:t>CONSENT TO</w:t>
      </w:r>
      <w:r w:rsidR="00084FD1">
        <w:rPr>
          <w:b/>
        </w:rPr>
        <w:t xml:space="preserve"> SERVICES</w:t>
      </w:r>
      <w:r>
        <w:br/>
        <w:t>Your signature below indicates that you have read this Agreement and the Notice of Privacy Practices and agree to their terms.</w:t>
      </w:r>
    </w:p>
    <w:p w14:paraId="125CD080" w14:textId="77777777" w:rsidR="009C2343" w:rsidRDefault="009C2343" w:rsidP="009C2343">
      <w:pPr>
        <w:pStyle w:val="NormalWeb"/>
      </w:pPr>
      <w:r>
        <w:t>_________________________________________</w:t>
      </w:r>
      <w:r>
        <w:br/>
        <w:t>Signature of Patient or Personal Representative</w:t>
      </w:r>
    </w:p>
    <w:p w14:paraId="0DB77AF8" w14:textId="77777777" w:rsidR="009C2343" w:rsidRDefault="009C2343" w:rsidP="009C2343">
      <w:pPr>
        <w:pStyle w:val="NormalWeb"/>
      </w:pPr>
      <w:r>
        <w:t>_________________________________________</w:t>
      </w:r>
      <w:r>
        <w:br/>
        <w:t>Printed Name of Patient or Personal Representative _________________________________________</w:t>
      </w:r>
    </w:p>
    <w:p w14:paraId="52F545F9" w14:textId="77777777" w:rsidR="009C2343" w:rsidRDefault="009C2343" w:rsidP="009C2343">
      <w:pPr>
        <w:pStyle w:val="NormalWeb"/>
      </w:pPr>
      <w:r>
        <w:t>Date _____________________________________</w:t>
      </w:r>
    </w:p>
    <w:p w14:paraId="268A3F0B" w14:textId="77777777" w:rsidR="009C2343" w:rsidRDefault="009C2343" w:rsidP="009C2343">
      <w:pPr>
        <w:pStyle w:val="NormalWeb"/>
      </w:pPr>
      <w:r>
        <w:t xml:space="preserve">Description of Personal Representative’s </w:t>
      </w:r>
      <w:proofErr w:type="gramStart"/>
      <w:r>
        <w:t>Authority:_</w:t>
      </w:r>
      <w:proofErr w:type="gramEnd"/>
      <w:r>
        <w:t>____________________________</w:t>
      </w:r>
    </w:p>
    <w:p w14:paraId="20A15DD1" w14:textId="77777777" w:rsidR="009C2343" w:rsidRDefault="009C2343" w:rsidP="009C2343">
      <w:pPr>
        <w:pStyle w:val="NormalWeb"/>
      </w:pPr>
      <w:r>
        <w:t>___________________________________________________________________</w:t>
      </w:r>
    </w:p>
    <w:p w14:paraId="6998E614" w14:textId="77777777" w:rsidR="009C2343" w:rsidRDefault="009C2343" w:rsidP="009C2343"/>
    <w:p w14:paraId="29BF6E39" w14:textId="77777777" w:rsidR="009C2343" w:rsidRDefault="009C2343" w:rsidP="003E6449"/>
    <w:sectPr w:rsidR="009C2343" w:rsidSect="00E9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w:altName w:val="Copperplate"/>
    <w:panose1 w:val="02000504000000020004"/>
    <w:charset w:val="4D"/>
    <w:family w:val="auto"/>
    <w:pitch w:val="variable"/>
    <w:sig w:usb0="80000067" w:usb1="00000000" w:usb2="00000000" w:usb3="00000000" w:csb0="00000111" w:csb1="00000000"/>
  </w:font>
  <w:font w:name="Palatino">
    <w:altName w:val="Palatino"/>
    <w:panose1 w:val="00000000000000000000"/>
    <w:charset w:val="4D"/>
    <w:family w:val="auto"/>
    <w:pitch w:val="variable"/>
    <w:sig w:usb0="A00002FF" w:usb1="7800205A" w:usb2="14600000" w:usb3="00000000" w:csb0="00000193" w:csb1="00000000"/>
  </w:font>
  <w:font w:name="Gurmukhi MN">
    <w:panose1 w:val="02020600050405020304"/>
    <w:charset w:val="00"/>
    <w:family w:val="roman"/>
    <w:pitch w:val="variable"/>
    <w:sig w:usb0="80100003" w:usb1="00002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43"/>
    <w:rsid w:val="00084FD1"/>
    <w:rsid w:val="00285BDF"/>
    <w:rsid w:val="00362346"/>
    <w:rsid w:val="003E6449"/>
    <w:rsid w:val="009C2343"/>
    <w:rsid w:val="00B571FE"/>
    <w:rsid w:val="00BD1634"/>
    <w:rsid w:val="00E9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AF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3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fficeManager/Library/Group%20Containers/UBF8T346G9.Office/User%20Content.localized/Templates.localized/Central%20Alabama%20Psychology%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Central Alabama Psychology heading.dotx</Template>
  <TotalTime>7</TotalTime>
  <Pages>4</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Kirkland, Kale (Ctr for Counseling &amp; Family Studies)</dc:creator>
  <cp:keywords/>
  <dc:description/>
  <cp:lastModifiedBy>Kale Kirkland</cp:lastModifiedBy>
  <cp:revision>4</cp:revision>
  <cp:lastPrinted>2016-09-16T13:49:00Z</cp:lastPrinted>
  <dcterms:created xsi:type="dcterms:W3CDTF">2021-01-27T20:45:00Z</dcterms:created>
  <dcterms:modified xsi:type="dcterms:W3CDTF">2023-04-12T14:01:00Z</dcterms:modified>
</cp:coreProperties>
</file>